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B21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217E" w:rsidRDefault="0006215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B217E" w:rsidRDefault="0006215C">
            <w:pPr>
              <w:spacing w:after="0" w:line="240" w:lineRule="auto"/>
            </w:pPr>
            <w:r>
              <w:t>26145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217E" w:rsidRDefault="0006215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B217E" w:rsidRDefault="0006215C">
            <w:pPr>
              <w:spacing w:after="0" w:line="240" w:lineRule="auto"/>
            </w:pPr>
            <w:r>
              <w:t>CENTAR KULTURE DUBRAVA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B217E" w:rsidRDefault="0006215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B217E" w:rsidRDefault="0006215C">
            <w:pPr>
              <w:spacing w:after="0" w:line="240" w:lineRule="auto"/>
            </w:pPr>
            <w:r>
              <w:t>21</w:t>
            </w:r>
          </w:p>
        </w:tc>
      </w:tr>
    </w:tbl>
    <w:p w:rsidR="005B217E" w:rsidRDefault="0006215C">
      <w:r>
        <w:br/>
      </w:r>
    </w:p>
    <w:p w:rsidR="005B217E" w:rsidRDefault="0006215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B217E" w:rsidRDefault="0006215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B217E" w:rsidRDefault="0006215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1.371.338,28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1.760.459,72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1.456.003,46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1.608.501,55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151.958,17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18.538,45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217,6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18.538,45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40.334,32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217,6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111.623,85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 xml:space="preserve">Centar kulture Dubrava je javna ustanova osnovana za trajno obavljanje djelatnosti u kulturi te organiziranje aktivnosti i manifestacija u realizaciji javnih potreba u kulturi od interesa za Grad Zagreb. Ustanova je utemeljena 1958. godine. Osnivač joj je </w:t>
      </w:r>
      <w:r>
        <w:t xml:space="preserve">Grad Zagreb. Centar svoje programske cjeline i programe kroz Program rada i razvitka za 2025. godinu oblikuje sukladno Programu razvoja kulture Grada Zagreba za 2024.-2030., te unutarnjim </w:t>
      </w:r>
      <w:r>
        <w:lastRenderedPageBreak/>
        <w:t xml:space="preserve">programskim ciljevima i potrebama svoje lokalne zajednice. Primarne </w:t>
      </w:r>
      <w:r>
        <w:t>zadaće Centra su omogućavanje dostupnosti kulture i umjetnosti u svim kulturnim i umjetničkim granama građanima svoje lokalne zajednice, poticanje predstavljanja uz omogućavanje prostorno-tehničkih uvjeta za rad i prezentaciju marginaliziranih i manje zast</w:t>
      </w:r>
      <w:r>
        <w:t>upljenih umjetničkih područja i disciplina te omogućavanje kulturno-umjetničke poduke u području likovnih, filmskih, glazbenih, plesnih i dramskih umjetnosti, kao i interdisciplinarnim poljima, te umjetnička proizvodnja u području kazališne umjetnosti. Obu</w:t>
      </w:r>
      <w:r>
        <w:t>hvat programskih cjelina i programa je primarno lokalna zajednica, gradske četvrti Gornje i Donje Dubrave, a zatim Grad Zagreb, dok pojedini programi Centra imaju nacionalni, rjeđe međunarodni obuhvat. U izvještajnom razdoblju, provedene su procedure i pos</w:t>
      </w:r>
      <w:r>
        <w:t>tupci promjene naziva ustanove iz Narodnog sveučilišta Dubrava u Centar kulture Dubrava. Centar kulture Dubrava na dan 31. prosinca 2025. ima 31 zaposlenika, od čega su u 2025. godini zaposleni viša stručna suradnica za kazališne programe i voditelj tehnič</w:t>
      </w:r>
      <w:r>
        <w:t>kih poslova, opremanja i održavanja objekata 1. Ustanova je u sustavu PDV-a.</w:t>
      </w:r>
    </w:p>
    <w:p w:rsidR="005B217E" w:rsidRDefault="0006215C">
      <w:pPr>
        <w:jc w:val="both"/>
      </w:pPr>
      <w:r>
        <w:t>Tijela ustanove su ravnatelj, upravno vijeće i stručno vijeće.</w:t>
      </w:r>
    </w:p>
    <w:p w:rsidR="005B217E" w:rsidRDefault="0006215C">
      <w:pPr>
        <w:jc w:val="both"/>
      </w:pPr>
      <w:r>
        <w:t>Ustanovom upravlja ravnatelj koji predstavlja i zastupa Ustanovu. </w:t>
      </w:r>
    </w:p>
    <w:p w:rsidR="005B217E" w:rsidRDefault="0006215C">
      <w:pPr>
        <w:jc w:val="both"/>
      </w:pPr>
      <w:r>
        <w:t> </w:t>
      </w:r>
    </w:p>
    <w:p w:rsidR="005B217E" w:rsidRDefault="0006215C">
      <w:pPr>
        <w:jc w:val="both"/>
      </w:pPr>
      <w:r>
        <w:t xml:space="preserve">Ukupni prihodi i primici ostvareni su u iznosu </w:t>
      </w:r>
      <w:r>
        <w:t>od 1.760.459,72 eura, dok rashodi i izdaci bilježe iznos od 1.648.835,87 eura, čime je u ovom izvještajnom razdoblju ostvaren višak prihoda u iznosu od 111.623,85 eura (šifra X005 obrazac PR-RAS), što s prenesenim manjkom prihoda iz prethodnog razdoblja od</w:t>
      </w:r>
      <w:r>
        <w:t xml:space="preserve"> 40.082,44 eura daje ukupan višak prihoda i primitaka od 71.541,41 eura (šifra X006 obrazac PR-RAS). </w:t>
      </w:r>
    </w:p>
    <w:p w:rsidR="005B217E" w:rsidRDefault="0006215C">
      <w:pPr>
        <w:jc w:val="both"/>
      </w:pPr>
      <w:r>
        <w:t>Višak prihoda poslovanja rezultat je viška prihoda nad rashodima iz vlastitih izvora (prihodi od tečajeva, filmskih projekcija, najma te prihoda od prodan</w:t>
      </w:r>
      <w:r>
        <w:t>ih ulaznica za kazališne predstave) te kao rezultat prihoda iz nadležnog proračuna koji je doznačio, osim dijela sredstava za rashode realizirane u 2025. godini, i sredstva za rashode realizirane u 2024. godini. </w:t>
      </w:r>
    </w:p>
    <w:p w:rsidR="005B217E" w:rsidRDefault="0006215C">
      <w:pPr>
        <w:jc w:val="both"/>
      </w:pPr>
      <w:r>
        <w:t xml:space="preserve">Manjak prihoda od nefinancijske imovine je </w:t>
      </w:r>
      <w:r>
        <w:t>rezultat nabave nefinancijske imovine čije je financiranje osigurano iz prihoda nadležnog proračuna (šifra 6712) te vlastitih prihoda poslovanja, a koji prihodi se ne nalaze u kategoriji prihoda od nefinancijske imovine.</w:t>
      </w:r>
    </w:p>
    <w:p w:rsidR="005B217E" w:rsidRDefault="0006215C">
      <w:r>
        <w:br/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1.371.338,28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1.760.459,72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lastRenderedPageBreak/>
        <w:t>U izvještajnom razdoblju ostvareni su ukupni prihodi u iznosu od 1.760.459,72 eura i to:</w:t>
      </w:r>
    </w:p>
    <w:p w:rsidR="005B217E" w:rsidRDefault="0006215C">
      <w:pPr>
        <w:jc w:val="both"/>
      </w:pPr>
      <w:r>
        <w:t>tekuće pomoći u iznosu od 14.000,00, kamate 3,10, ostali nespomenuti prihodi u iznosu od 76.966,00, prihodi od pruženih usluga u iznosu od 170.318,30,  tekuće donacije</w:t>
      </w:r>
      <w:r>
        <w:t xml:space="preserve"> 2.000,00 te prihodi od Gradskog ureda za kulturu i civilno društvo u iznosu od 1.497.172,32.</w:t>
      </w:r>
    </w:p>
    <w:p w:rsidR="005B217E" w:rsidRDefault="0006215C">
      <w:pPr>
        <w:jc w:val="both"/>
      </w:pPr>
      <w:r>
        <w:t>Sve pozicije prihoda imaju veće ostvarenje u odnosu na isto izvještajno razdoblje prethodne godine. </w:t>
      </w:r>
    </w:p>
    <w:p w:rsidR="005B217E" w:rsidRDefault="0006215C">
      <w:pPr>
        <w:jc w:val="both"/>
      </w:pPr>
      <w:r>
        <w:t>Tekuće pomoći u ukupnom iznosu od 14.000,00 eura odnose se na</w:t>
      </w:r>
      <w:r>
        <w:t xml:space="preserve"> prihode od Ministarstva kulture i medija RH  i to za program Noć kazališta 4.000,00, izložbeni program Galerije Vladimir </w:t>
      </w:r>
      <w:proofErr w:type="spellStart"/>
      <w:r>
        <w:t>Filakovac</w:t>
      </w:r>
      <w:proofErr w:type="spellEnd"/>
      <w:r>
        <w:t xml:space="preserve"> 3.000,00 te za nove programe u ovoj godini Točka pokreta 6.000,00 te Ciklus predavanja: Hrvatski vladari - što znamo o njima</w:t>
      </w:r>
      <w:r>
        <w:t xml:space="preserve"> i što nam danas znače?, 1.000,00, a zbog kojih je i indeks ostvarenja veći u odnosu na izvještajno razdoblje prethodne godine.</w:t>
      </w:r>
    </w:p>
    <w:p w:rsidR="005B217E" w:rsidRDefault="0006215C">
      <w:pPr>
        <w:jc w:val="both"/>
      </w:pPr>
      <w:r>
        <w:t>Što se tiče ostalih nespomenutih prihoda (šifra 6526), isti bilježe povećanje za 67,2%, a odnose se na prihode od prodanih ulazn</w:t>
      </w:r>
      <w:r>
        <w:t>ica za kazališne predstave u iznosu od 46.466,00 eura te prihode za programe i programske jedinice koji se financiraju kroz Plan potreba vijeća gradskih četvrti i mjesnih odbora u iznosu od 30.500,00 eura, a zbog kojih je i došlo do značajnog porasta ove v</w:t>
      </w:r>
      <w:r>
        <w:t>rste prihoda.</w:t>
      </w:r>
    </w:p>
    <w:p w:rsidR="005B217E" w:rsidRDefault="0006215C">
      <w:pPr>
        <w:jc w:val="both"/>
      </w:pPr>
      <w:r>
        <w:t>Na šifri 6615 Prihodi od pruženih usluga evidentirani su prihodi od programa poduke i tečajeva plesne, glazbene, dramske, likovne, filmske djelatnosti i tradicijske kulture, prihodi od filmskih projekcija te prihodi od najma prostora. Naveden</w:t>
      </w:r>
      <w:r>
        <w:t>a pozicija prihoda bilježi porast od 6,1% u odnosu na prethodno razdoblje zbog više ostvarenih prihoda od tečajeva, filmskih projekcija i najma.</w:t>
      </w:r>
    </w:p>
    <w:p w:rsidR="005B217E" w:rsidRDefault="0006215C">
      <w:pPr>
        <w:jc w:val="both"/>
      </w:pPr>
      <w:r>
        <w:t>Što se tiče donacija na šifri 6631, ostvaren je prihod Turističke zajednice grada Zagreba za program Noć kazali</w:t>
      </w:r>
      <w:r>
        <w:t>šta 2.000,00 eura. </w:t>
      </w:r>
    </w:p>
    <w:p w:rsidR="005B217E" w:rsidRDefault="0006215C">
      <w:pPr>
        <w:jc w:val="both"/>
      </w:pPr>
      <w:r>
        <w:t>Prihodi od Gradskog ureda za kulturu i civilno društvo iznose 1.497.172,32 eura i čine 85,04 % ukupnih prihoda, od čega se 1.271.358,03 eura odnosi na financiranje rashoda poslovanja iz redovne i programske djelatnosti te opremanje i od</w:t>
      </w:r>
      <w:r>
        <w:t>ržavanje ustanove za 2025., dok je 225.814,29 eura doznačeno za rashode koje je ustanova ostvarila u 2024. godini. Upravo zbog doznačavanja sredstava za prethodnu godinu je i veći indeks ostvarenja u odnosu na isto izvještajno razdoblje prethodne godine.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1.456.003,46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1.608.501,55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lastRenderedPageBreak/>
        <w:t>Ukupni rashodi poslovanja iznose 1.608.501,55 eura i to rashodi za zaposlene 951.667,33, materijalni rashodi 652.437,78 i financijski rashodi 4.396,44. </w:t>
      </w:r>
    </w:p>
    <w:p w:rsidR="005B217E" w:rsidRDefault="0006215C">
      <w:pPr>
        <w:jc w:val="both"/>
      </w:pPr>
      <w:r>
        <w:t> </w:t>
      </w:r>
    </w:p>
    <w:p w:rsidR="005B217E" w:rsidRDefault="0006215C">
      <w:pPr>
        <w:jc w:val="both"/>
      </w:pPr>
      <w:r>
        <w:t>Na poziciji rashodi za zaposlene (šifra 3111 i 3132) evidentirane su plaća i doprinosi na plaću zapos</w:t>
      </w:r>
      <w:r>
        <w:t>lenika. Na poziciji Ostali rashodi za zaposlene (šifra 312) isplaćena su sljedeća materijalna prava zaposlenika: jubilarne nagrade, dar u naravi za Uskrs, regres za korištenje godišnjeg odmora, otpremnina zbog odlaska u mirovinu, pomoć za smrt roditelja, d</w:t>
      </w:r>
      <w:r>
        <w:t>ar za djecu za sv. Nikolu, božićnica, nagrade za radne rezultate te naknade za prehranu, a sve sukladno važećim propisima. Rashodi za zaposlene bilježe porast za 26,3% u odnosu na isto razdoblje 2024. godine zbog povećanja osnovice za obračun plaća te pove</w:t>
      </w:r>
      <w:r>
        <w:t>ćanja iznosa materijalnih prava zaposlenika sukladno Kolektivnom ugovoru i Dodacima Kolektivnog ugovora za zaposlene u ustanovama kulture Grada Zagreba.</w:t>
      </w:r>
    </w:p>
    <w:p w:rsidR="005B217E" w:rsidRDefault="0006215C">
      <w:pPr>
        <w:jc w:val="both"/>
      </w:pPr>
      <w:r>
        <w:t> </w:t>
      </w:r>
    </w:p>
    <w:p w:rsidR="005B217E" w:rsidRDefault="0006215C">
      <w:pPr>
        <w:jc w:val="both"/>
      </w:pPr>
      <w:r>
        <w:t>Što se tiče materijalnih rashoda (šifra 32), značajnije odstupanje u odnosu na isto razdoblje prethod</w:t>
      </w:r>
      <w:r>
        <w:t>ne godine bilježe sljedeći rashodi:</w:t>
      </w:r>
    </w:p>
    <w:p w:rsidR="005B217E" w:rsidRDefault="0006215C">
      <w:pPr>
        <w:jc w:val="both"/>
      </w:pPr>
      <w:r>
        <w:t>-službena putovanja (smanjenje zbog manjeg broja odlazaka na službeni put), </w:t>
      </w:r>
    </w:p>
    <w:p w:rsidR="005B217E" w:rsidRDefault="0006215C">
      <w:pPr>
        <w:jc w:val="both"/>
      </w:pPr>
      <w:r>
        <w:t>-stručno usavršavanje zaposlenika (povećanje zbog održanih  </w:t>
      </w:r>
      <w:proofErr w:type="spellStart"/>
      <w:r>
        <w:t>webinara</w:t>
      </w:r>
      <w:proofErr w:type="spellEnd"/>
      <w:r>
        <w:t>),</w:t>
      </w:r>
    </w:p>
    <w:p w:rsidR="005B217E" w:rsidRDefault="0006215C">
      <w:pPr>
        <w:jc w:val="both"/>
      </w:pPr>
      <w:r>
        <w:t>-ostale naknade troškova zaposlenima (smanjenje korištenja privatnog aut</w:t>
      </w:r>
      <w:r>
        <w:t>omobila u službene svrhe), </w:t>
      </w:r>
    </w:p>
    <w:p w:rsidR="005B217E" w:rsidRDefault="0006215C">
      <w:pPr>
        <w:jc w:val="both"/>
      </w:pPr>
      <w:r>
        <w:t>- uredski materijal (povećanje zbog potreba redovnog i programskog poslovanja), </w:t>
      </w:r>
    </w:p>
    <w:p w:rsidR="005B217E" w:rsidRDefault="0006215C">
      <w:pPr>
        <w:jc w:val="both"/>
      </w:pPr>
      <w:r>
        <w:t>-materijal i dijelovi za tekuće i investicijsko održavanje (povećanje zbog uređenja prostora te održavanja opreme), </w:t>
      </w:r>
    </w:p>
    <w:p w:rsidR="005B217E" w:rsidRDefault="0006215C">
      <w:pPr>
        <w:jc w:val="both"/>
      </w:pPr>
      <w:r>
        <w:t xml:space="preserve">-sitni inventar (povećanje uslijed nabave lampi, podnih obloga, izolacijskih ploča, strujne razvodne kutije, stolnih garnitura,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playera</w:t>
      </w:r>
      <w:proofErr w:type="spellEnd"/>
      <w:r>
        <w:t>, glačala za kazalište, pokrivala za pozornicu, zvučnika, stalaka za kišobrane, rekvizita za plesne programe, stala</w:t>
      </w:r>
      <w:r>
        <w:t>ka za note i malih stolica za potrebe kazališta), </w:t>
      </w:r>
    </w:p>
    <w:p w:rsidR="005B217E" w:rsidRDefault="0006215C">
      <w:pPr>
        <w:jc w:val="both"/>
      </w:pPr>
      <w:r>
        <w:t>-usluge tekućeg i investicijskog održavanja (smanjenje u odnosu na prethodno razdoblje; osim redovnih servisa dizala, klima uređaja, vatrogasnih aparata, kotlovnice i servisa službenog kombi vozila, eviden</w:t>
      </w:r>
      <w:r>
        <w:t xml:space="preserve">tirani su okončana situacija sanacije krova te nadzor tih radova, elektroinstalaterski radovi, vodoinstalaterski radovi, izrada projekta i tehničke dokumentacije vatrodojavnog sustava, sanacija unutarnjih zidova u prizemlju, sanacija pločica na prvom katu </w:t>
      </w:r>
      <w:r>
        <w:t xml:space="preserve">i sanacija poda na drugom katu objekta Kulturni centar, brušenje i lakiranje parketa u plesnoj dvorani na objektu </w:t>
      </w:r>
      <w:proofErr w:type="spellStart"/>
      <w:r>
        <w:t>Cerska</w:t>
      </w:r>
      <w:proofErr w:type="spellEnd"/>
      <w:r>
        <w:t xml:space="preserve"> 1, zamjena pumpi u kotlovnici te drugi opsegom manji radovi), </w:t>
      </w:r>
    </w:p>
    <w:p w:rsidR="005B217E" w:rsidRDefault="0006215C">
      <w:pPr>
        <w:jc w:val="both"/>
      </w:pPr>
      <w:r>
        <w:t>-usluge promidžbe i informiranja (povećanje uslijed promjene naziva usta</w:t>
      </w:r>
      <w:r>
        <w:t>nove i troškova programske djelatnosti), </w:t>
      </w:r>
    </w:p>
    <w:p w:rsidR="005B217E" w:rsidRDefault="0006215C">
      <w:pPr>
        <w:jc w:val="both"/>
      </w:pPr>
      <w:r>
        <w:t>-komunalne usluge (smanjenje jer u 2025. nije bilo odvoza glomaznog otpada), </w:t>
      </w:r>
    </w:p>
    <w:p w:rsidR="005B217E" w:rsidRDefault="0006215C">
      <w:pPr>
        <w:jc w:val="both"/>
      </w:pPr>
      <w:r>
        <w:lastRenderedPageBreak/>
        <w:t>-zakupnine i najamnine (povećanje troškova najma filmova zbog većeg broja filmskih projekcija), </w:t>
      </w:r>
    </w:p>
    <w:p w:rsidR="005B217E" w:rsidRDefault="0006215C">
      <w:pPr>
        <w:jc w:val="both"/>
      </w:pPr>
      <w:r>
        <w:t>-zdravstvene usluge (redovni sistematsk</w:t>
      </w:r>
      <w:r>
        <w:t>i pregledi zaposlenika), </w:t>
      </w:r>
    </w:p>
    <w:p w:rsidR="005B217E" w:rsidRDefault="0006215C">
      <w:pPr>
        <w:jc w:val="both"/>
      </w:pPr>
      <w:r>
        <w:t>-intelektualne usluge (veći broj programa pa time i veći broj angažiranih vanjskih suradnika te povećanje iznosa honorara vanjskim suradnicima), </w:t>
      </w:r>
    </w:p>
    <w:p w:rsidR="005B217E" w:rsidRDefault="0006215C">
      <w:pPr>
        <w:jc w:val="both"/>
      </w:pPr>
      <w:r>
        <w:t>-ostale usluge (uz redovne tiskarske usluge kataloga, plakata ulaznica, letaka i ost</w:t>
      </w:r>
      <w:r>
        <w:t xml:space="preserve">ale usluge vezane za redovnu i programsku djelatnost (kopiranje, fotografiranje, popravak kostima, usluge snimanja, poslovi zaštite na radu…), evidentiraju se i troškovi tjelesne zaštite imovine i osoba (zaštitarska služba) za obje lokacije, koji čine oko </w:t>
      </w:r>
      <w:r>
        <w:t>87% troškova na ovoj poziciji. Zbog većeg broja sati i poskupljenja cijene usluge zaštitarske službe, ova vrsta rashoda bilježi veći indeks ostvarenja), </w:t>
      </w:r>
    </w:p>
    <w:p w:rsidR="005B217E" w:rsidRDefault="0006215C">
      <w:pPr>
        <w:jc w:val="both"/>
      </w:pPr>
      <w:r>
        <w:t>-naknade za rad predstavničkih i izvršnih tijela, povjerenstava i slično (povećanje iznosa naknade čla</w:t>
      </w:r>
      <w:r>
        <w:t>novima Upravnog vijeća), </w:t>
      </w:r>
    </w:p>
    <w:p w:rsidR="005B217E" w:rsidRDefault="0006215C">
      <w:r>
        <w:t>-premije osiguranja (veći troškovi osiguranja imovine i osoba te službenog kombi vozila), </w:t>
      </w:r>
    </w:p>
    <w:p w:rsidR="005B217E" w:rsidRDefault="0006215C">
      <w:r>
        <w:t>-pristojbe i naknade (povećanje uslijed većih troškova ZAMP-a u okviru programske djelatnosti)</w:t>
      </w:r>
    </w:p>
    <w:p w:rsidR="005B217E" w:rsidRDefault="0006215C">
      <w:r>
        <w:t>-ostali nespomenuti rashodi poslovanja (povećanje zbog migracije i registracije domena uslijed promjene naziva ustanove te troškova programske djelatnosti).</w:t>
      </w:r>
    </w:p>
    <w:p w:rsidR="005B217E" w:rsidRDefault="0006215C">
      <w:pPr>
        <w:jc w:val="both"/>
      </w:pPr>
      <w:r>
        <w:t> </w:t>
      </w:r>
    </w:p>
    <w:p w:rsidR="005B217E" w:rsidRDefault="0006215C">
      <w:pPr>
        <w:jc w:val="both"/>
      </w:pPr>
      <w:r>
        <w:t>Financijski rashodi na šifri 34 također bilježe blago povećanje za 9,4%, a odnose se na usluge pl</w:t>
      </w:r>
      <w:r>
        <w:t>atnog prometa.</w:t>
      </w:r>
    </w:p>
    <w:p w:rsidR="005B217E" w:rsidRDefault="0006215C">
      <w:pPr>
        <w:jc w:val="both"/>
      </w:pPr>
      <w:r>
        <w:t>Neke od pozicija rashoda poslovanja bilježe manje ostvarenje ili čak nemaju ostvarenje u odnosu na prethodno razdoblje iz razloga što nije bilo potrebe za ostvarenjem istih. 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18.538,45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217,6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Rashodi za nabavu proizvedene dugotrajne imovine na  šifri 42 iznose 40.334,32 eura i bilježe značajno povećanje u odnosu na izvještajno razdoblje prethodne godine.            </w:t>
      </w:r>
    </w:p>
    <w:p w:rsidR="005B217E" w:rsidRDefault="0006215C">
      <w:pPr>
        <w:jc w:val="both"/>
      </w:pPr>
      <w:r>
        <w:t xml:space="preserve">Na ovoj vrsti rashoda nabavljeno je sljedeće: tri računala, osam printera, pet </w:t>
      </w:r>
      <w:r>
        <w:t xml:space="preserve"> monitora, dva TV prijemnika, telefonska centrala, klima uređaj, montažna vanjska pozornica, tonska oprema, reflektori, pokrivalo za opremu, uredski namještaj, uređaj za pranje unutarnjih i </w:t>
      </w:r>
      <w:r>
        <w:lastRenderedPageBreak/>
        <w:t>vanjskih površina, uništavač papira, uređaj za skupljanje lišća, p</w:t>
      </w:r>
      <w:r>
        <w:t>erilica rublja za potrebe kazališta te računalni programi. 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556.957,59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561.727,85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U 2025. godini nabavljeno je sljedeće: tri računala, osam printera, pet  monitora, dva TV prijemnika, telefonska centrala, klima uređaj, montažna vanjska pozornica, tonska oprema, reflektori, pokrivalo za opremu, uredski namještaj, uređaj za pranje unutarn</w:t>
      </w:r>
      <w:r>
        <w:t>jih i vanjskih površina, uništavač papira, uređaj za skupljanje lišća, perilica rublja za potrebe kazališta, računalni programi te sitni inventar zbog čega je i veći indeks ostvarenja u odnosu na izvještajno razdoblje prethodne godine. </w:t>
      </w:r>
    </w:p>
    <w:p w:rsidR="005B217E" w:rsidRDefault="0006215C">
      <w:pPr>
        <w:jc w:val="both"/>
      </w:pPr>
      <w:r>
        <w:t>Napravljen je redov</w:t>
      </w:r>
      <w:r>
        <w:t>an ispravak vrijednosti proizvedene dugotrajne imovine, sukladno zakonskim propisima. 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158.094,71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198.254,68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Stanje novčanih sredstava na kraju izvještajnog razdoblja je 184.385,63 eura.</w:t>
      </w:r>
    </w:p>
    <w:p w:rsidR="005B217E" w:rsidRDefault="0006215C">
      <w:pPr>
        <w:jc w:val="both"/>
      </w:pPr>
      <w:r>
        <w:t> </w:t>
      </w:r>
    </w:p>
    <w:p w:rsidR="005B217E" w:rsidRDefault="0006215C">
      <w:pPr>
        <w:jc w:val="both"/>
      </w:pPr>
      <w:r>
        <w:t>Na šifri 129 iskazano je potraživanje za režijske troškove od Knjižnica Grada Zagreba u iznosu od 5.503,27 eura. </w:t>
      </w:r>
    </w:p>
    <w:p w:rsidR="005B217E" w:rsidRDefault="0006215C">
      <w:pPr>
        <w:jc w:val="both"/>
      </w:pPr>
      <w:r>
        <w:t>Na šifri 166 evidentirana su potraživanja od polaznika za tečajeve u iznosu od 7.341,00 eura i potraživanja za najam u iznosu od 6.344,31 eura. </w:t>
      </w:r>
    </w:p>
    <w:p w:rsidR="005B217E" w:rsidRDefault="0006215C">
      <w:pPr>
        <w:jc w:val="both"/>
      </w:pPr>
      <w:r>
        <w:t>Na šifri 169 iskazan je ispravak vrijednosti potraživanja, koji je proveden sukladno zakonskim propisima.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lastRenderedPageBreak/>
        <w:t>Bilj</w:t>
      </w:r>
      <w:r>
        <w:rPr>
          <w:sz w:val="28"/>
        </w:rPr>
        <w:t>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187.432,76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121.026,84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64,6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 xml:space="preserve">Stanje ukupnih obveza iznosi 121.026,84 eura, a odnose se na: obveze za zaposlene 82.378,41, obveze za materijalne rashode 30.340,82, obveze za financijske rashode 726,08, ostale tekuće obveze 5.481,53 i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2.100,00.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527.619,54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638.955,69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Obračunati prihodi poslovanja (šifra 96) iznose 5.686,43 eura, a odnose se na prihode od tečajeva i najma. </w:t>
      </w:r>
    </w:p>
    <w:p w:rsidR="005B217E" w:rsidRDefault="0006215C">
      <w:pPr>
        <w:jc w:val="both"/>
      </w:pPr>
      <w:r>
        <w:t>U izvještajnom razdoblju nije bilo ugovornih odnosa i slično koji uz ispunjenja određenih uvjeta mogu postati obveza ili imovina (dana kreditna pism</w:t>
      </w:r>
      <w:r>
        <w:t>a, hipoteke i slično).</w:t>
      </w:r>
    </w:p>
    <w:p w:rsidR="005B217E" w:rsidRDefault="0006215C">
      <w:pPr>
        <w:jc w:val="both"/>
      </w:pPr>
      <w:r>
        <w:t>Na općinskom radnom sudu protiv ustanove pokrenut je radni spor koji je u tijeku (iznos procjene financijskog učinka iskazan na šifri 96651).</w:t>
      </w:r>
    </w:p>
    <w:p w:rsidR="005B217E" w:rsidRDefault="0006215C">
      <w:pPr>
        <w:jc w:val="both"/>
      </w:pPr>
      <w:r>
        <w:t>U izvještajnom razdoblju ostvaren je višak prihoda od 111.623,85 eura, što s prenesenim man</w:t>
      </w:r>
      <w:r>
        <w:t>jkom iz prethodnog razdoblja od 40.082,44 eura daje ukupan višak prihoda i primitaka od 71.541,41 eura (višak prihoda poslovanja 99.108,95 eura šifra 92221 i manjak prihoda od nefinancijske imovine 27.567,54 eura šifra 92222).</w:t>
      </w:r>
    </w:p>
    <w:p w:rsidR="005B217E" w:rsidRDefault="0006215C">
      <w:pPr>
        <w:jc w:val="both"/>
      </w:pPr>
      <w:r>
        <w:t>Što se tiče financiranja rash</w:t>
      </w:r>
      <w:r>
        <w:t>oda na teret vlastitih prihoda, prihoda za posebne namjene te namjenskih prihoda, ustanova nije ostvarila manjak. Naprotiv, iz navedenih izvora bilježi ostvarenje viška prihoda poslovanja, dok se s izvora osnivača Grada Zagreba bilježi metodološki manjak s</w:t>
      </w:r>
      <w:r>
        <w:t xml:space="preserve"> obzirom da nisu doznačena sva sredstva po poslanim zahtjevima, a koja se odnose na rashode za zaposlene (plaća za prosinac), sredstva za redovnu djelatnost (režijski troškovi, troškovi zaštitarske službe, troškovi tekućeg i investicijskog održavanja, nakn</w:t>
      </w:r>
      <w:r>
        <w:t>ade članovima Upravnog vijeća, premije osiguranja) te sredstva za programsku djelatnost. 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1.474.541,91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1.648.835,87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U ovom izvještaju ukupni rashodi su razvrstani na šifru 082 Služba kulture.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35.564,06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U ovom izvještaju evidentirane su promjene u obliku smanjenja vrijednosti imovine zbog ispravka vrijednosti nefinancijske imovine.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121.026,84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217E" w:rsidRDefault="005B217E">
      <w:pPr>
        <w:spacing w:after="0"/>
      </w:pPr>
    </w:p>
    <w:p w:rsidR="005B217E" w:rsidRDefault="0006215C">
      <w:pPr>
        <w:jc w:val="both"/>
      </w:pPr>
      <w:r>
        <w:t>Ukupne obveze na kraju izvještajnog razdoblja (šifra V006) iznose 121.026,84 eura. Sve obveze su nedospjele i one se odnose na: obveze za zaposlene 82.378,41, obveze za materijalne rashode 30.340,82, obveze za financijske rashode 726,08, ostale tekuće obve</w:t>
      </w:r>
      <w:r>
        <w:t xml:space="preserve">ze 5.481,53 i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2.100,00.</w:t>
      </w:r>
    </w:p>
    <w:p w:rsidR="005B217E" w:rsidRDefault="005B217E"/>
    <w:p w:rsidR="005B217E" w:rsidRDefault="0006215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B2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B21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5B21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B217E" w:rsidRDefault="000621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B217E" w:rsidRDefault="005B217E">
      <w:pPr>
        <w:spacing w:after="0"/>
      </w:pPr>
    </w:p>
    <w:p w:rsidR="005B217E" w:rsidRDefault="0006215C">
      <w:r>
        <w:lastRenderedPageBreak/>
        <w:t>Na šifri V007 iznos je 0 iz razloga što su sve obveze nedospjele.</w:t>
      </w:r>
    </w:p>
    <w:p w:rsidR="005B217E" w:rsidRDefault="005B217E"/>
    <w:sectPr w:rsidR="005B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7E"/>
    <w:rsid w:val="0006215C"/>
    <w:rsid w:val="005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</dc:creator>
  <cp:lastModifiedBy>bozica</cp:lastModifiedBy>
  <cp:revision>2</cp:revision>
  <dcterms:created xsi:type="dcterms:W3CDTF">2026-01-29T09:38:00Z</dcterms:created>
  <dcterms:modified xsi:type="dcterms:W3CDTF">2026-01-29T09:38:00Z</dcterms:modified>
</cp:coreProperties>
</file>